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E" w:rsidRPr="00695F2D" w:rsidRDefault="00D9701E" w:rsidP="00D9701E">
      <w:pPr>
        <w:autoSpaceDN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Приложение 11</w:t>
      </w:r>
    </w:p>
    <w:p w:rsidR="00D9701E" w:rsidRPr="00695F2D" w:rsidRDefault="00D9701E" w:rsidP="00D9701E">
      <w:pPr>
        <w:autoSpaceDN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D9701E" w:rsidRPr="00695F2D" w:rsidRDefault="00D9701E" w:rsidP="00D9701E">
      <w:pPr>
        <w:autoSpaceDN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D9701E" w:rsidRPr="00695F2D" w:rsidRDefault="00D9701E" w:rsidP="00D9701E">
      <w:pPr>
        <w:autoSpaceDN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caps/>
          <w:color w:val="000000" w:themeColor="text1"/>
          <w:sz w:val="30"/>
          <w:szCs w:val="30"/>
        </w:rPr>
        <w:t>«БИОЛОГИЯ»</w:t>
      </w:r>
    </w:p>
    <w:p w:rsidR="00D9701E" w:rsidRPr="00695F2D" w:rsidRDefault="00D9701E" w:rsidP="00D9701E">
      <w:pPr>
        <w:autoSpaceDN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color w:val="212121"/>
          <w:sz w:val="30"/>
          <w:szCs w:val="30"/>
          <w:lang w:eastAsia="ru-RU"/>
        </w:rPr>
      </w:pPr>
    </w:p>
    <w:p w:rsidR="00D9701E" w:rsidRPr="00695F2D" w:rsidRDefault="00D9701E" w:rsidP="00D9701E">
      <w:pPr>
        <w:autoSpaceDN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1. </w:t>
      </w:r>
      <w:r w:rsidRPr="00695F2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Учебные программы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aps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7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D9701E" w:rsidRPr="00695F2D" w:rsidTr="00EA333A">
        <w:tc>
          <w:tcPr>
            <w:tcW w:w="1694" w:type="dxa"/>
            <w:vMerge w:val="restart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XI</w:t>
            </w:r>
          </w:p>
        </w:tc>
      </w:tr>
      <w:tr w:rsidR="00D9701E" w:rsidRPr="00695F2D" w:rsidTr="00EA333A">
        <w:tc>
          <w:tcPr>
            <w:tcW w:w="1694" w:type="dxa"/>
            <w:vMerge/>
          </w:tcPr>
          <w:p w:rsidR="00D9701E" w:rsidRPr="00695F2D" w:rsidRDefault="00D9701E" w:rsidP="00EA333A">
            <w:pPr>
              <w:autoSpaceDN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D9701E" w:rsidRPr="00695F2D" w:rsidTr="00EA333A">
        <w:tc>
          <w:tcPr>
            <w:tcW w:w="1694" w:type="dxa"/>
          </w:tcPr>
          <w:p w:rsidR="00D9701E" w:rsidRPr="00695F2D" w:rsidRDefault="00D9701E" w:rsidP="00EA333A">
            <w:pPr>
              <w:autoSpaceDN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highlight w:val="lightGray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965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D9701E" w:rsidRPr="00695F2D" w:rsidRDefault="00D9701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be-BY" w:eastAsia="ru-RU"/>
              </w:rPr>
              <w:t>2017</w:t>
            </w:r>
          </w:p>
        </w:tc>
      </w:tr>
    </w:tbl>
    <w:p w:rsidR="00D9701E" w:rsidRPr="00695F2D" w:rsidRDefault="00D9701E" w:rsidP="00D9701E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5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color w:val="000000" w:themeColor="text1"/>
          <w:sz w:val="30"/>
          <w:szCs w:val="30"/>
        </w:rPr>
        <w:t>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Обращаем внимание,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что в связи с поэтапным переходом на обновленное содержание образования</w:t>
      </w:r>
      <w:r w:rsidRPr="00695F2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,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класса.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учебную программу для </w:t>
      </w:r>
      <w:r w:rsidRPr="00695F2D">
        <w:rPr>
          <w:rFonts w:ascii="Times New Roman" w:eastAsia="Calibri" w:hAnsi="Times New Roman" w:cs="Times New Roman"/>
          <w:bCs/>
          <w:caps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eastAsia="Calibri" w:hAnsi="Times New Roman" w:cs="Times New Roman"/>
          <w:bCs/>
          <w:caps/>
          <w:color w:val="000000" w:themeColor="text1"/>
          <w:sz w:val="30"/>
          <w:szCs w:val="30"/>
        </w:rPr>
        <w:t xml:space="preserve">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класса (базовый и повышенный уровни)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внесены следующие изменения: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изменена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последовательность изучения разделов между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 классами (базовый и повышенный уровни)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содержания учебной программы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класса</w:t>
      </w:r>
      <w:r w:rsidRPr="00695F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перенесены в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 следующие темы: «Химические компоненты живых организмов», «Клетка – структурная и функциональная единица живых организмов», «Обмен веществ и преобразование энергии в организме», «Наследственность и изменчивость организмов», «Селекция и биотехнология»;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содержания учебной программы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класса</w:t>
      </w:r>
      <w:r w:rsidRPr="00695F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перенесены в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 темы: «Организм и среда», «Биосфера – живая оболочка земли», «Экосистема – основная единица биосферы», «Вид и популяция».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введена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новая тема «Человек в окружающей среде»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lastRenderedPageBreak/>
        <w:t>в учебной программе на базовом уровне изучения учебного предмета внесены следующие изменения: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  <w:t>включены: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695F2D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рактическая работа № 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«Составление цепей и сетей питания в разных экосистемах»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раздел «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Экосистема – основная единица биосферы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»;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экскурсии № 1 «Описание экосистем своей местности (видовая и пространственная структура, сезонные изменения, наличие антропогенных изменений)» и № 2 «Описание </w:t>
      </w:r>
      <w:proofErr w:type="spellStart"/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агроэкосистемы</w:t>
      </w:r>
      <w:proofErr w:type="spellEnd"/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ее видового состава (на примере парка, сада, поля или пруда)»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раздел «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Экосистема – основная единица биосферы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».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перенесены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раздела «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Биосфера – живая оболочка Земли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в отдельный раздел «Человек и биосфера» вопросы, связанные с охраной природы;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в учебной программе на повышенном уровне изучения учебного предмета внесены следующие изменения: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включены: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обобщающее повторение после изучения каждого раздела учебной программы;</w:t>
      </w:r>
    </w:p>
    <w:p w:rsidR="00D9701E" w:rsidRPr="00695F2D" w:rsidRDefault="00D9701E" w:rsidP="00D9701E">
      <w:pPr>
        <w:shd w:val="clear" w:color="auto" w:fill="FFFFFF"/>
        <w:tabs>
          <w:tab w:val="left" w:pos="600"/>
        </w:tabs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практическая работа «Экологические проекты по моделированию и прогнозированию изменений в экосистеме под действием антропогенных факторов» в раздел «Э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косистема – основная единица биосферы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D9701E" w:rsidRPr="00695F2D" w:rsidRDefault="00D9701E" w:rsidP="00D9701E">
      <w:pPr>
        <w:shd w:val="clear" w:color="auto" w:fill="FFFFFF"/>
        <w:tabs>
          <w:tab w:val="left" w:pos="600"/>
        </w:tabs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экскурсия «Описание </w:t>
      </w:r>
      <w:proofErr w:type="spellStart"/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агроэкосистемы</w:t>
      </w:r>
      <w:proofErr w:type="spellEnd"/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ее видового состава (на примере парка, сада, поля или пруда)» в раздел «Э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косистема – основная единица биосферы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  <w:t>переведены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ранг лабораторных работ</w:t>
      </w:r>
      <w:r w:rsidRPr="00695F2D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практические работы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«Изучение приспособленности насекомых и птиц к наземно-воздушной среде обитания» и «Изучение приспособленности растений к опылению, распространению плодов и семян»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разделе «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Организм и среда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исключены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практические работы: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695F2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Сравнение бесполого и полового размножения» и «Решение задач по теме </w:t>
      </w:r>
      <w:r w:rsidRPr="00695F2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“</w:t>
      </w:r>
      <w:r w:rsidRPr="00695F2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Размножение организмов</w:t>
      </w:r>
      <w:r w:rsidRPr="00695F2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”</w:t>
      </w:r>
      <w:r w:rsidRPr="00695F2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»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раздела «Размножение и индивидуальное развитие организмов»</w:t>
      </w:r>
      <w:r w:rsidRPr="00695F2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695F2D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Выявление изменчивости у особей одного вида» и «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Решение задач по теме 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“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Вид. Популяция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”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раздела «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Вид и популяция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Составление схем круговоротов веществ</w:t>
      </w:r>
      <w:r w:rsidRPr="00695F2D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» и «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Прогнозирование и моделирование изменений в экосистеме под действием антропогенных факторов»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раздела «</w:t>
      </w: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Биосфера – живая оболочка Земли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Из учебной программы по учебному предмету «Биология» для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(базовый уровень) </w:t>
      </w:r>
      <w:r w:rsidRPr="00695F2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исключена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практическая работа № 4 «Решение задач по теме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“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Балансовое равенство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”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2. Учебные издания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В 2020/2021 учебном году будет использоваться </w:t>
      </w:r>
      <w:r w:rsidRPr="00695F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новое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695F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учебное пособие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учащихся</w:t>
      </w:r>
    </w:p>
    <w:p w:rsidR="00D9701E" w:rsidRPr="00695F2D" w:rsidRDefault="00D9701E" w:rsidP="00D9701E">
      <w:pPr>
        <w:autoSpaceDE w:val="0"/>
        <w:snapToGri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Биология /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Біялогія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/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С.С. Маглыш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[др.]; под ред.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С.С. Маглыш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– Минск: Народная </w:t>
      </w:r>
      <w:proofErr w:type="spellStart"/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асвета</w:t>
      </w:r>
      <w:proofErr w:type="spellEnd"/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, 2020.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u w:val="single"/>
        </w:rPr>
        <w:t>(</w:t>
      </w:r>
      <w:hyperlink r:id="rId6" w:history="1">
        <w:r w:rsidRPr="00695F2D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«Биология» на базовом уровне. Электронное приложение для повышеннго уровня размещено на ресурсе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hyperlink r:id="rId7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http://profil.adu.by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:rsidR="00D9701E" w:rsidRPr="00695F2D" w:rsidRDefault="00D9701E" w:rsidP="00D9701E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8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color w:val="000000" w:themeColor="text1"/>
          <w:sz w:val="30"/>
          <w:szCs w:val="30"/>
        </w:rPr>
        <w:t>.</w:t>
      </w:r>
    </w:p>
    <w:p w:rsidR="00D9701E" w:rsidRPr="00A97904" w:rsidRDefault="00D9701E" w:rsidP="00D9701E">
      <w:pPr>
        <w:autoSpaceDN/>
        <w:spacing w:after="0" w:line="240" w:lineRule="auto"/>
        <w:ind w:right="-1"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«Биология»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br/>
        <w:t>в 2020/2021 учебном году размещена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: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hyperlink r:id="rId9" w:history="1">
        <w:r w:rsidRPr="00FE09B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0" w:history="1">
        <w:r w:rsidRPr="00A9790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Образовательный процесс. 2020/2021 учебный год / Общее среднее образование / Учебные предметы. V–XI классы / Биология</w:t>
        </w:r>
        <w:r w:rsidRPr="00A97904">
          <w:rPr>
            <w:rStyle w:val="a3"/>
            <w:rFonts w:ascii="Calibri" w:eastAsia="Calibri" w:hAnsi="Calibri" w:cs="Times New Roman"/>
            <w:sz w:val="30"/>
            <w:szCs w:val="30"/>
          </w:rPr>
          <w:t>.</w:t>
        </w:r>
      </w:hyperlink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:rsidR="00D9701E" w:rsidRPr="00A97904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учебный предмет «Биология» может изучаться на повышенном уровне в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в объеме не более 2 дополнительных учебных часов в неделю. Рекомендации по организации изучения биологии в VIII и IX классах на повышенном уровне размещены на национальном образовательном портале: </w:t>
      </w:r>
      <w:hyperlink r:id="rId11" w:history="1">
        <w:r w:rsidRPr="00FE09B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2" w:history="1">
        <w:r w:rsidRPr="00A9790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Образовательный процесс. 2020/2021 учебный год / Общее среднее образование / Учебные предметы. V–XI классы / Биология</w:t>
        </w:r>
        <w:r w:rsidRPr="00A97904">
          <w:rPr>
            <w:rStyle w:val="a3"/>
            <w:rFonts w:ascii="Calibri" w:eastAsia="Calibri" w:hAnsi="Calibri" w:cs="Times New Roman"/>
            <w:sz w:val="30"/>
            <w:szCs w:val="30"/>
          </w:rPr>
          <w:t>.</w:t>
        </w:r>
      </w:hyperlink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При изучении учебного предмета «Биология» в X классе на повышенном уровне используется электронное приложение для повышеннго уровня «Биология. 10 класс», размещенное на ресурсе </w:t>
      </w:r>
      <w:r w:rsidRPr="00695F2D">
        <w:rPr>
          <w:rFonts w:ascii="Times New Roman" w:hAnsi="Times New Roman"/>
          <w:i/>
          <w:sz w:val="30"/>
          <w:szCs w:val="30"/>
        </w:rPr>
        <w:t>(</w:t>
      </w:r>
      <w:hyperlink r:id="rId13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http://profil.adu.by</w:t>
        </w:r>
      </w:hyperlink>
      <w:r w:rsidRPr="00695F2D">
        <w:rPr>
          <w:rFonts w:ascii="Times New Roman" w:hAnsi="Times New Roman"/>
          <w:i/>
          <w:sz w:val="30"/>
          <w:szCs w:val="30"/>
        </w:rPr>
        <w:t>)</w:t>
      </w:r>
      <w:r w:rsidRPr="00695F2D">
        <w:rPr>
          <w:rFonts w:ascii="Times New Roman" w:hAnsi="Times New Roman" w:cs="Times New Roman"/>
          <w:sz w:val="30"/>
          <w:szCs w:val="30"/>
        </w:rPr>
        <w:t>,</w:t>
      </w:r>
      <w:r w:rsidRPr="00695F2D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биологии на базовом уровне.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4. Календарно-тематическое планирование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«Биология». Данное КТП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утверждается руководителем учреждения образования до начала учебного года.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Учитель вправе использовать примерное КТП по учебному предмету «Биология» для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классов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, рекомендованное НИО.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При использовании КТП, рекомендованного НИО, учитель может 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Примерное КТП для X класса по учебному предмету «Биология» размещено на национальном образовательном портале </w:t>
      </w:r>
      <w:hyperlink r:id="rId14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color w:val="000000" w:themeColor="text1"/>
          <w:sz w:val="30"/>
          <w:szCs w:val="30"/>
        </w:rPr>
        <w:t>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5. Особенности организации образовательного процесса</w:t>
      </w:r>
    </w:p>
    <w:p w:rsidR="00D9701E" w:rsidRPr="00695F2D" w:rsidRDefault="00D9701E" w:rsidP="00D9701E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/>
          <w:color w:val="000000" w:themeColor="text1"/>
          <w:sz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5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color w:val="000000" w:themeColor="text1"/>
          <w:sz w:val="30"/>
          <w:szCs w:val="30"/>
        </w:rPr>
        <w:t>.</w:t>
      </w:r>
    </w:p>
    <w:p w:rsidR="00D9701E" w:rsidRPr="00695F2D" w:rsidRDefault="00D9701E" w:rsidP="00D9701E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продолжить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 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:rsidR="00D9701E" w:rsidRPr="00695F2D" w:rsidRDefault="00D9701E" w:rsidP="00D9701E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D9701E" w:rsidRPr="00695F2D" w:rsidRDefault="00D9701E" w:rsidP="00D9701E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16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 / Образовательный процесс. 2020/2021 учебный год / Организация воспитания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9701E" w:rsidRPr="00695F2D" w:rsidRDefault="00D9701E" w:rsidP="00D970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</w:t>
      </w:r>
      <w:r w:rsidRPr="00695F2D">
        <w:rPr>
          <w:rFonts w:ascii="Times New Roman" w:eastAsia="Times New Roman" w:hAnsi="Times New Roman" w:cs="Courier New"/>
          <w:b/>
          <w:color w:val="000000" w:themeColor="text1"/>
          <w:sz w:val="30"/>
          <w:szCs w:val="30"/>
          <w:lang w:eastAsia="ru-RU"/>
        </w:rPr>
        <w:t>а первом учебном занятии</w:t>
      </w:r>
      <w:r w:rsidRPr="00695F2D">
        <w:rPr>
          <w:rFonts w:ascii="Times New Roman" w:eastAsia="Times New Roman" w:hAnsi="Times New Roman" w:cs="Courier New"/>
          <w:color w:val="000000" w:themeColor="text1"/>
          <w:sz w:val="30"/>
          <w:szCs w:val="30"/>
          <w:lang w:eastAsia="ru-RU"/>
        </w:rPr>
        <w:t xml:space="preserve">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695F2D"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eastAsia="ru-RU"/>
        </w:rPr>
        <w:t>Обучение правилам безопасного поведения» (</w:t>
      </w:r>
      <w:r w:rsidRPr="00695F2D">
        <w:rPr>
          <w:rFonts w:ascii="Times New Roman" w:eastAsia="Times New Roman" w:hAnsi="Times New Roman" w:cs="Courier New"/>
          <w:color w:val="000000" w:themeColor="text1"/>
          <w:sz w:val="30"/>
          <w:szCs w:val="30"/>
          <w:lang w:eastAsia="ru-RU"/>
        </w:rPr>
        <w:t>или</w:t>
      </w:r>
      <w:r w:rsidRPr="00695F2D"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eastAsia="ru-RU"/>
        </w:rPr>
        <w:t xml:space="preserve"> «ОПБП»)</w:t>
      </w:r>
      <w:r w:rsidRPr="00695F2D">
        <w:rPr>
          <w:rFonts w:ascii="Times New Roman" w:eastAsia="Times New Roman" w:hAnsi="Times New Roman" w:cs="Courier New"/>
          <w:color w:val="000000" w:themeColor="text1"/>
          <w:sz w:val="30"/>
          <w:szCs w:val="30"/>
          <w:lang w:eastAsia="ru-RU"/>
        </w:rPr>
        <w:t xml:space="preserve"> в классном журнале в графе </w:t>
      </w:r>
      <w:r w:rsidRPr="00695F2D"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eastAsia="ru-RU"/>
        </w:rPr>
        <w:t>«</w:t>
      </w:r>
      <w:r w:rsidRPr="00695F2D"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val="be-BY" w:eastAsia="ru-RU"/>
        </w:rPr>
        <w:t>Змест вучэбных заняткаў</w:t>
      </w:r>
      <w:r w:rsidRPr="00695F2D"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eastAsia="ru-RU"/>
        </w:rPr>
        <w:t xml:space="preserve">» </w:t>
      </w:r>
      <w:r w:rsidRPr="00695F2D">
        <w:rPr>
          <w:rFonts w:ascii="Times New Roman" w:eastAsia="Times New Roman" w:hAnsi="Times New Roman" w:cs="Courier New"/>
          <w:iCs/>
          <w:color w:val="000000" w:themeColor="text1"/>
          <w:sz w:val="30"/>
          <w:szCs w:val="30"/>
          <w:lang w:eastAsia="ru-RU"/>
        </w:rPr>
        <w:t>(</w:t>
      </w:r>
      <w:r w:rsidRPr="00695F2D">
        <w:rPr>
          <w:rFonts w:ascii="Times New Roman" w:eastAsia="Times New Roman" w:hAnsi="Times New Roman" w:cs="Courier New"/>
          <w:color w:val="000000" w:themeColor="text1"/>
          <w:sz w:val="30"/>
          <w:szCs w:val="30"/>
          <w:lang w:eastAsia="ru-RU"/>
        </w:rPr>
        <w:t>перед записью темы урока)</w:t>
      </w:r>
      <w:r w:rsidRPr="00695F2D">
        <w:rPr>
          <w:rFonts w:ascii="Times New Roman" w:eastAsia="Times New Roman" w:hAnsi="Times New Roman" w:cs="Courier New"/>
          <w:i/>
          <w:iCs/>
          <w:color w:val="000000" w:themeColor="text1"/>
          <w:sz w:val="30"/>
          <w:szCs w:val="30"/>
          <w:lang w:eastAsia="ru-RU"/>
        </w:rPr>
        <w:t>.</w:t>
      </w:r>
    </w:p>
    <w:p w:rsidR="00D9701E" w:rsidRPr="00695F2D" w:rsidRDefault="00D9701E" w:rsidP="00D9701E">
      <w:pPr>
        <w:shd w:val="clear" w:color="auto" w:fill="FFFFFF"/>
        <w:tabs>
          <w:tab w:val="left" w:pos="851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:rsidR="00D9701E" w:rsidRPr="00695F2D" w:rsidRDefault="00D9701E" w:rsidP="00D9701E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что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проведение практических и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лабораторных работ, демонстрационных опытов,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экскурсий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предусмотрено учебной программой, их выполнение обязательно в каждом классе. </w:t>
      </w:r>
    </w:p>
    <w:p w:rsidR="00D9701E" w:rsidRPr="00695F2D" w:rsidRDefault="00D9701E" w:rsidP="00D9701E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sz w:val="30"/>
          <w:szCs w:val="30"/>
        </w:rPr>
        <w:t xml:space="preserve">Для выполнения обучающих, практических и контрольных работ по учебному предмету «Биология» учащимся рекомендуется иметь 3 тетради (1 тетрадь для обучающих, 1 тетрадь для лабораторных и практических работ, 1 тетрадь для контрольных работ). 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Отметки за лабораторные работы выставляются в тетради для лабораторных и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 Отметки за практические, обучающие работы, отчеты по итогам экскурсий заносятся в классный журнал по усмотрению учителя.   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Деление класса на группы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при изучении учебного предмета «Биология» осуществляется в соответствии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пунктами 54 и 57 Положения об учреждении общего среднего образования. </w:t>
      </w:r>
    </w:p>
    <w:p w:rsidR="00D9701E" w:rsidRPr="00695F2D" w:rsidRDefault="00D9701E" w:rsidP="00D970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695F2D">
        <w:rPr>
          <w:rFonts w:ascii="Times New Roman" w:hAnsi="Times New Roman"/>
          <w:b/>
          <w:color w:val="000000" w:themeColor="text1"/>
          <w:sz w:val="30"/>
        </w:rPr>
        <w:t>Домашние задания</w:t>
      </w:r>
      <w:r w:rsidRPr="00695F2D">
        <w:rPr>
          <w:rFonts w:ascii="Times New Roman" w:hAnsi="Times New Roman"/>
          <w:color w:val="000000" w:themeColor="text1"/>
          <w:sz w:val="30"/>
        </w:rPr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задания необходимо строго следить за его дозировкой, при </w:t>
      </w:r>
      <w:r w:rsidRPr="00695F2D">
        <w:rPr>
          <w:rFonts w:ascii="Times New Roman" w:hAnsi="Times New Roman"/>
          <w:color w:val="000000" w:themeColor="text1"/>
          <w:sz w:val="30"/>
        </w:rPr>
        <w:lastRenderedPageBreak/>
        <w:t xml:space="preserve">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:rsidR="00D9701E" w:rsidRPr="00695F2D" w:rsidRDefault="00D9701E" w:rsidP="00D970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695F2D">
        <w:rPr>
          <w:rFonts w:ascii="Times New Roman" w:hAnsi="Times New Roman"/>
          <w:color w:val="000000" w:themeColor="text1"/>
          <w:sz w:val="30"/>
        </w:rPr>
        <w:t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VII–VIII классах за 2,5 часа, в IX–XI классах за 3 часа.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факультативных занятий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перечень УМК для факультативных занятий размещены на наци</w:t>
      </w:r>
      <w:r w:rsidRPr="00695F2D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17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color w:val="000000" w:themeColor="text1"/>
          <w:sz w:val="30"/>
          <w:szCs w:val="30"/>
        </w:rPr>
        <w:t>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8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color w:val="000000" w:themeColor="text1"/>
          <w:sz w:val="30"/>
          <w:szCs w:val="30"/>
        </w:rPr>
        <w:t>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6. Организация методической работы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x-none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организации деятельности методических формирований учителей биологии в 2020/2021 учебном году предлагается единая тема </w:t>
      </w:r>
      <w:r w:rsidRPr="00695F2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учителей биологии по вопросам организации учебно-познавательной деятельности учащихся».</w:t>
      </w:r>
    </w:p>
    <w:p w:rsidR="00D9701E" w:rsidRPr="00695F2D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695F2D">
        <w:rPr>
          <w:rFonts w:ascii="Times New Roman" w:hAnsi="Times New Roman"/>
          <w:b/>
          <w:bCs/>
          <w:color w:val="000000" w:themeColor="text1"/>
          <w:sz w:val="30"/>
          <w:szCs w:val="30"/>
        </w:rPr>
        <w:t>На августовских предметных секциях учителей биологии рекомендуется обсудить следующие вопросы:</w:t>
      </w:r>
    </w:p>
    <w:p w:rsidR="00D9701E" w:rsidRPr="00695F2D" w:rsidRDefault="00D9701E" w:rsidP="00D9701E">
      <w:pPr>
        <w:numPr>
          <w:ilvl w:val="0"/>
          <w:numId w:val="1"/>
        </w:numPr>
        <w:shd w:val="clear" w:color="auto" w:fill="FFFFFF"/>
        <w:tabs>
          <w:tab w:val="left" w:pos="993"/>
        </w:tabs>
        <w:autoSpaceDN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 2020/2021 учебном году:</w:t>
      </w:r>
    </w:p>
    <w:p w:rsidR="00D9701E" w:rsidRPr="00695F2D" w:rsidRDefault="00D9701E" w:rsidP="00D9701E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обновление содержания учебных программ по учебному предмету «Биология» для Х класса (базовый и повышенный уровни) учреждений общего среднего образования;</w:t>
      </w:r>
    </w:p>
    <w:p w:rsidR="00D9701E" w:rsidRPr="00695F2D" w:rsidRDefault="00D9701E" w:rsidP="00D9701E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возможности новых учебных пособий по биологии, особенности работы с ними;</w:t>
      </w:r>
    </w:p>
    <w:p w:rsidR="00D9701E" w:rsidRPr="00695F2D" w:rsidRDefault="00D9701E" w:rsidP="00D9701E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контрольно-оценочная деятельность учителя и учащихся в образовательном процессе по биологии;</w:t>
      </w:r>
    </w:p>
    <w:p w:rsidR="00D9701E" w:rsidRPr="00695F2D" w:rsidRDefault="00D9701E" w:rsidP="00D9701E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развитие естественнонаучной и читательской грамотности учащихся в свете рекомендаций по итогам международной оценки образовательных достижений учащихся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(PISA).</w:t>
      </w:r>
    </w:p>
    <w:p w:rsidR="00D9701E" w:rsidRPr="00695F2D" w:rsidRDefault="00D9701E" w:rsidP="00D9701E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биологии в 2019/2020 учебном году. Планирование работы методических формирований в 2020/2021 учебном году. </w:t>
      </w:r>
    </w:p>
    <w:p w:rsidR="00D9701E" w:rsidRPr="00695F2D" w:rsidRDefault="00D9701E" w:rsidP="00D9701E">
      <w:pPr>
        <w:tabs>
          <w:tab w:val="left" w:pos="709"/>
        </w:tabs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 xml:space="preserve">В течение учебного года на заседаниях методических формирований учителей биологии 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рекомендуется рассмотреть следующие темы: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  <w:t>организация учебно-познавательной деятельности учащихся по учебному предмету «Биология» посредством решения компетентностно-ориентированных заданий;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формирование информационной и медийной грамотности учащихся при изучении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биологии;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использование интерактивных методов обучения </w:t>
      </w:r>
      <w:r w:rsidRPr="00695F2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на уроках биологии и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использование на учебных занятиях по биологии приемов 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стратегии активной оценки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биологии; 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организация учебно-познавательной деятельности учащихся при </w:t>
      </w:r>
      <w:r w:rsidRPr="00695F2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проведении </w:t>
      </w: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«перевёрнутого» урока по биологии</w:t>
      </w:r>
      <w:r w:rsidRPr="00695F2D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D9701E" w:rsidRPr="00695F2D" w:rsidRDefault="00D9701E" w:rsidP="00D9701E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биологии;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t>организация самостоятельной проектной деятельности учащихся на уроке и во внеурочной деятельности при изучении биологии;</w:t>
      </w:r>
    </w:p>
    <w:p w:rsidR="00D9701E" w:rsidRPr="00695F2D" w:rsidRDefault="00D9701E" w:rsidP="00D9701E">
      <w:pPr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t>создание безопасных условий организации учебной деятельности учащихся на учебных занятиях по биологии.</w:t>
      </w:r>
    </w:p>
    <w:p w:rsidR="00D9701E" w:rsidRDefault="00D9701E" w:rsidP="00D9701E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695F2D">
        <w:rPr>
          <w:rFonts w:ascii="Times New Roman" w:hAnsi="Times New Roman"/>
          <w:color w:val="000000" w:themeColor="text1"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биологии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695F2D">
        <w:rPr>
          <w:rFonts w:ascii="Times New Roman" w:hAnsi="Times New Roman"/>
          <w:i/>
          <w:sz w:val="30"/>
          <w:szCs w:val="30"/>
        </w:rPr>
        <w:t>(</w:t>
      </w:r>
      <w:hyperlink r:id="rId19" w:history="1">
        <w:r w:rsidRPr="00695F2D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695F2D">
        <w:rPr>
          <w:rFonts w:ascii="Times New Roman" w:hAnsi="Times New Roman"/>
          <w:i/>
          <w:sz w:val="30"/>
          <w:szCs w:val="30"/>
          <w:u w:val="single"/>
        </w:rPr>
        <w:t>)</w:t>
      </w:r>
      <w:r w:rsidRPr="00695F2D">
        <w:rPr>
          <w:rFonts w:ascii="Times New Roman" w:hAnsi="Times New Roman"/>
          <w:i/>
          <w:sz w:val="30"/>
          <w:szCs w:val="30"/>
        </w:rPr>
        <w:t>.</w:t>
      </w:r>
    </w:p>
    <w:p w:rsidR="00D9701E" w:rsidRDefault="00D9701E">
      <w:bookmarkStart w:id="0" w:name="_GoBack"/>
      <w:bookmarkEnd w:id="0"/>
    </w:p>
    <w:sectPr w:rsidR="00D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1E"/>
    <w:rsid w:val="00D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C30-34C8-4169-BFA7-44FF1C6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01E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01E"/>
    <w:rPr>
      <w:color w:val="0563C1"/>
      <w:u w:val="single"/>
    </w:rPr>
  </w:style>
  <w:style w:type="table" w:customStyle="1" w:styleId="7">
    <w:name w:val="Сетка таблицы7"/>
    <w:basedOn w:val="a1"/>
    <w:next w:val="a4"/>
    <w:uiPriority w:val="59"/>
    <w:rsid w:val="00D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3" Type="http://schemas.openxmlformats.org/officeDocument/2006/relationships/hyperlink" Target="http://profil.adu.by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fil.adu.by" TargetMode="Externa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0-2021-uchebnyj-god/organizatsiya-vospitaniya-2020-20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padruchnik.adu.by/" TargetMode="External"/><Relationship Id="rId11" Type="http://schemas.openxmlformats.org/officeDocument/2006/relationships/hyperlink" Target="https://adu.by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9" Type="http://schemas.openxmlformats.org/officeDocument/2006/relationships/hyperlink" Target="http://www.academy.e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2020-07-14T13:22:00Z</dcterms:created>
  <dcterms:modified xsi:type="dcterms:W3CDTF">2020-07-14T13:23:00Z</dcterms:modified>
</cp:coreProperties>
</file>